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F2E94" w14:textId="500C73E2" w:rsidR="003760BD" w:rsidRPr="00A93258" w:rsidRDefault="003760BD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</w:pPr>
      <w:r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Dr. </w:t>
      </w:r>
      <w:proofErr w:type="spellStart"/>
      <w:r w:rsidR="00A93258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György</w:t>
      </w:r>
      <w:proofErr w:type="spellEnd"/>
      <w:r w:rsidR="00A93258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Bazsa</w:t>
      </w:r>
      <w:proofErr w:type="spellEnd"/>
      <w:r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</w:p>
    <w:p w14:paraId="3EB299BA" w14:textId="0EE2C1DA" w:rsidR="00EF179A" w:rsidRPr="00A93258" w:rsidRDefault="00E50345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went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to grade school in </w:t>
      </w:r>
      <w:proofErr w:type="spellStart"/>
      <w:r w:rsidR="00EF179A" w:rsidRPr="00E50345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Hosszúpályi</w:t>
      </w:r>
      <w:proofErr w:type="spellEnd"/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and to high school (</w:t>
      </w:r>
      <w:proofErr w:type="spellStart"/>
      <w:r w:rsidR="001B254E" w:rsidRPr="00A93258">
        <w:rPr>
          <w:lang w:val="en-US"/>
        </w:rPr>
        <w:fldChar w:fldCharType="begin"/>
      </w:r>
      <w:r w:rsidR="001B254E" w:rsidRPr="00A93258">
        <w:rPr>
          <w:lang w:val="en-US"/>
        </w:rPr>
        <w:instrText xml:space="preserve"> HYPERLINK "https://hu.wikipedia.org/wiki/Fazekas_Mih%C3%A1ly_Gimn%C3%A1zium_(Debrecen)" \o "Fazekas Mihály Gimnázium (Debrecen)" </w:instrText>
      </w:r>
      <w:r w:rsidR="001B254E" w:rsidRPr="00A93258">
        <w:rPr>
          <w:lang w:val="en-US"/>
        </w:rPr>
        <w:fldChar w:fldCharType="separate"/>
      </w:r>
      <w:r w:rsidR="00EF179A" w:rsidRPr="00E50345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Állami</w:t>
      </w:r>
      <w:proofErr w:type="spellEnd"/>
      <w:r w:rsidR="00EF179A" w:rsidRPr="00E50345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="00EF179A" w:rsidRPr="00E50345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Fazekas</w:t>
      </w:r>
      <w:proofErr w:type="spellEnd"/>
      <w:r w:rsidR="00EF179A" w:rsidRPr="00E50345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="00EF179A" w:rsidRPr="00E50345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Mihály</w:t>
      </w:r>
      <w:proofErr w:type="spellEnd"/>
      <w:r w:rsidR="00EF179A" w:rsidRPr="00E50345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="00EF179A" w:rsidRPr="00E50345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Gyakorló</w:t>
      </w:r>
      <w:proofErr w:type="spellEnd"/>
      <w:r w:rsidR="00EF179A" w:rsidRPr="00E50345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="00250D18" w:rsidRPr="00E50345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G</w:t>
      </w:r>
      <w:r w:rsidR="00EF179A" w:rsidRPr="00E50345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imnázium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) in Debrecen. </w:t>
      </w:r>
      <w:r w:rsidR="001B254E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fldChar w:fldCharType="end"/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He graduated from </w:t>
      </w:r>
      <w:hyperlink r:id="rId5" w:tooltip="Debreceni Egyetem" w:history="1">
        <w:r w:rsidR="00EF179A" w:rsidRPr="00E50345">
          <w:rPr>
            <w:rFonts w:ascii="Arial" w:eastAsia="Times New Roman" w:hAnsi="Arial" w:cs="Arial"/>
            <w:i/>
            <w:color w:val="000000" w:themeColor="text1"/>
            <w:sz w:val="21"/>
            <w:szCs w:val="21"/>
            <w:lang w:val="en-US" w:eastAsia="hu-HU"/>
          </w:rPr>
          <w:t xml:space="preserve">Kossuth Lajos </w:t>
        </w:r>
        <w:proofErr w:type="spellStart"/>
        <w:r w:rsidR="00EF179A" w:rsidRPr="00E50345">
          <w:rPr>
            <w:rFonts w:ascii="Arial" w:eastAsia="Times New Roman" w:hAnsi="Arial" w:cs="Arial"/>
            <w:i/>
            <w:color w:val="000000" w:themeColor="text1"/>
            <w:sz w:val="21"/>
            <w:szCs w:val="21"/>
            <w:lang w:val="en-US" w:eastAsia="hu-HU"/>
          </w:rPr>
          <w:t>Tudományegyetem</w:t>
        </w:r>
        <w:proofErr w:type="spellEnd"/>
        <w:r w:rsidRPr="00E50345">
          <w:rPr>
            <w:rFonts w:ascii="Arial" w:eastAsia="Times New Roman" w:hAnsi="Arial" w:cs="Arial"/>
            <w:i/>
            <w:color w:val="000000" w:themeColor="text1"/>
            <w:sz w:val="21"/>
            <w:szCs w:val="21"/>
            <w:lang w:val="en-US" w:eastAsia="hu-HU"/>
          </w:rPr>
          <w:t xml:space="preserve"> [Lajos Kossuth</w:t>
        </w:r>
        <w:r>
          <w:rPr>
            <w:rFonts w:ascii="Arial" w:eastAsia="Times New Roman" w:hAnsi="Arial" w:cs="Arial"/>
            <w:i/>
            <w:color w:val="000000" w:themeColor="text1"/>
            <w:sz w:val="21"/>
            <w:szCs w:val="21"/>
            <w:lang w:val="en-US" w:eastAsia="hu-HU"/>
          </w:rPr>
          <w:t xml:space="preserve"> </w:t>
        </w:r>
        <w:r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hu-HU"/>
          </w:rPr>
          <w:t>University of Arts and Sciences]</w:t>
        </w:r>
      </w:hyperlink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as a chemist in</w:t>
      </w:r>
      <w:r w:rsidR="00AC0750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1963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. </w:t>
      </w:r>
      <w:r w:rsidR="00BA2824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Following his graduation, he </w:t>
      </w:r>
      <w:r w:rsidR="00C42B65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started to </w:t>
      </w:r>
      <w:r w:rsidR="00BA2824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work at the Department of Physical Chemistry. He </w:t>
      </w:r>
      <w:proofErr w:type="gramStart"/>
      <w:r w:rsidR="00BA2824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was appointed</w:t>
      </w:r>
      <w:proofErr w:type="gramEnd"/>
      <w:r w:rsidR="00BA2824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assistant professor in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1970</w:t>
      </w:r>
      <w:r w:rsidR="00BA2824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associate professor in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1975</w:t>
      </w:r>
      <w:r w:rsidR="00BA2824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and full professor in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1990</w:t>
      </w:r>
      <w:r w:rsidR="00BA2824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. From this </w:t>
      </w:r>
      <w:r w:rsidR="00C42B65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date</w:t>
      </w:r>
      <w:r w:rsidR="00BA2824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onwards</w:t>
      </w:r>
      <w:r w:rsidR="00D608DA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he was the head of </w:t>
      </w:r>
      <w:r w:rsidR="00D608DA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the Department of Physical Chemistry</w:t>
      </w:r>
      <w:r w:rsidR="00D608D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 w:rsidR="00D608DA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for eight years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. </w:t>
      </w:r>
      <w:r w:rsidR="00D608DA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In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2010</w:t>
      </w:r>
      <w:r w:rsidR="00D608DA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he was granted a </w:t>
      </w:r>
      <w:hyperlink r:id="rId6" w:tooltip="Professor emeritus" w:history="1">
        <w:r w:rsidR="00EF179A" w:rsidRPr="00A93258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hu-HU"/>
          </w:rPr>
          <w:t>professor emeritus</w:t>
        </w:r>
      </w:hyperlink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 </w:t>
      </w:r>
      <w:r w:rsidR="00D608DA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title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. </w:t>
      </w:r>
    </w:p>
    <w:p w14:paraId="0DC61088" w14:textId="2346F522" w:rsidR="00663C6A" w:rsidRPr="00A93258" w:rsidRDefault="00D608DA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He defended his dr.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univ.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dissertation in </w:t>
      </w:r>
      <w:r w:rsidR="00663C6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1969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his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CSc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dissertation in </w:t>
      </w:r>
      <w:r w:rsidR="00663C6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1975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and his 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DSc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dissertation in </w:t>
      </w:r>
      <w:r w:rsidR="00663C6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1989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when he became Doctor of the Hungarian Academy of Sciences in chemistry. His chief area of research is </w:t>
      </w:r>
      <w:r w:rsidR="00E9401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kinetics of rapid reactions in solutions</w:t>
      </w:r>
      <w:r w:rsidR="00663C6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. </w:t>
      </w:r>
      <w:r w:rsidR="00E9401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He focused primarily on the so-called nonlinear processes, oftentimes referred to as exotic reactions. </w:t>
      </w:r>
      <w:r w:rsidR="00775042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He, </w:t>
      </w:r>
      <w:r w:rsidR="001C0F2E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in unison</w:t>
      </w:r>
      <w:r w:rsidR="00775042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with </w:t>
      </w:r>
      <w:hyperlink r:id="rId7" w:tooltip="Irving Epstein (a lap nem létezik)" w:history="1">
        <w:r w:rsidR="00775042" w:rsidRPr="00A93258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hu-HU"/>
          </w:rPr>
          <w:t>Irving Epstein</w:t>
        </w:r>
      </w:hyperlink>
      <w:r w:rsidR="00775042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 (Brandeis </w:t>
      </w:r>
      <w:r w:rsidR="00775042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University</w:t>
      </w:r>
      <w:r w:rsidR="00775042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, Waltham, MA)</w:t>
      </w:r>
      <w:r w:rsidR="00775042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 w:rsidR="00775042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and</w:t>
      </w:r>
      <w:r w:rsidR="00775042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="00775042" w:rsidRPr="00775042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István</w:t>
      </w:r>
      <w:proofErr w:type="spellEnd"/>
      <w:r w:rsidR="00775042" w:rsidRPr="00775042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="00775042" w:rsidRPr="00775042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Nagypál</w:t>
      </w:r>
      <w:proofErr w:type="spellEnd"/>
      <w:r w:rsidR="00775042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</w:t>
      </w:r>
      <w:r w:rsidR="001C0F2E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was</w:t>
      </w:r>
      <w:r w:rsidR="00775042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the first to recognize and interpret the effect of gravity on the traveling speed of chemical waves. In partnership with </w:t>
      </w:r>
      <w:proofErr w:type="spellStart"/>
      <w:r w:rsidR="00775042" w:rsidRPr="00775042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György</w:t>
      </w:r>
      <w:proofErr w:type="spellEnd"/>
      <w:r w:rsidR="00775042" w:rsidRPr="00775042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hyperlink r:id="rId8" w:tooltip="Póta György (a lap nem létezik)" w:history="1">
        <w:proofErr w:type="spellStart"/>
        <w:r w:rsidR="00663C6A" w:rsidRPr="00775042">
          <w:rPr>
            <w:rFonts w:ascii="Arial" w:eastAsia="Times New Roman" w:hAnsi="Arial" w:cs="Arial"/>
            <w:i/>
            <w:color w:val="000000" w:themeColor="text1"/>
            <w:sz w:val="21"/>
            <w:szCs w:val="21"/>
            <w:lang w:val="en-US" w:eastAsia="hu-HU"/>
          </w:rPr>
          <w:t>Póta</w:t>
        </w:r>
        <w:proofErr w:type="spellEnd"/>
        <w:r w:rsidR="00775042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hu-HU"/>
          </w:rPr>
          <w:t>,</w:t>
        </w:r>
        <w:r w:rsidR="00663C6A" w:rsidRPr="00775042">
          <w:rPr>
            <w:rFonts w:ascii="Arial" w:eastAsia="Times New Roman" w:hAnsi="Arial" w:cs="Arial"/>
            <w:i/>
            <w:color w:val="000000" w:themeColor="text1"/>
            <w:sz w:val="21"/>
            <w:szCs w:val="21"/>
            <w:lang w:val="en-US" w:eastAsia="hu-HU"/>
          </w:rPr>
          <w:t xml:space="preserve"> </w:t>
        </w:r>
      </w:hyperlink>
      <w:r w:rsidR="00775042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he described the shape and speed of wave fronts in an exact fashion.</w:t>
      </w:r>
      <w:r w:rsidR="00663C6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 </w:t>
      </w:r>
      <w:r w:rsidR="00775042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Working with </w:t>
      </w:r>
      <w:proofErr w:type="spellStart"/>
      <w:r w:rsidR="00775042" w:rsidRPr="00775042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István</w:t>
      </w:r>
      <w:proofErr w:type="spellEnd"/>
      <w:r w:rsidR="00775042" w:rsidRPr="00775042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hyperlink r:id="rId9" w:tooltip="Lengyel István (kémikus) (a lap nem létezik)" w:history="1">
        <w:proofErr w:type="spellStart"/>
        <w:r w:rsidR="00663C6A" w:rsidRPr="00775042">
          <w:rPr>
            <w:rFonts w:ascii="Arial" w:eastAsia="Times New Roman" w:hAnsi="Arial" w:cs="Arial"/>
            <w:i/>
            <w:color w:val="000000" w:themeColor="text1"/>
            <w:sz w:val="21"/>
            <w:szCs w:val="21"/>
            <w:lang w:val="en-US" w:eastAsia="hu-HU"/>
          </w:rPr>
          <w:t>Lengyel</w:t>
        </w:r>
        <w:proofErr w:type="spellEnd"/>
        <w:r w:rsidR="00775042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hu-HU"/>
          </w:rPr>
          <w:t xml:space="preserve">, he clarified </w:t>
        </w:r>
        <w:r w:rsidR="001C0F2E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hu-HU"/>
          </w:rPr>
          <w:t xml:space="preserve">the issue of </w:t>
        </w:r>
        <w:proofErr w:type="spellStart"/>
        <w:r w:rsidR="00775042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hu-HU"/>
          </w:rPr>
          <w:t>autocatalyc</w:t>
        </w:r>
        <w:proofErr w:type="spellEnd"/>
        <w:r w:rsidR="00775042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hu-HU"/>
          </w:rPr>
          <w:t xml:space="preserve"> oxidation mechanism</w:t>
        </w:r>
        <w:r w:rsidR="001C0F2E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hu-HU"/>
          </w:rPr>
          <w:t>s</w:t>
        </w:r>
        <w:r w:rsidR="00775042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hu-HU"/>
          </w:rPr>
          <w:t xml:space="preserve"> </w:t>
        </w:r>
        <w:r w:rsidR="001C0F2E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hu-HU"/>
          </w:rPr>
          <w:t>by</w:t>
        </w:r>
        <w:r w:rsidR="00775042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hu-HU"/>
          </w:rPr>
          <w:t xml:space="preserve"> nitric acid</w:t>
        </w:r>
      </w:hyperlink>
      <w:r w:rsidR="00663C6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.</w:t>
      </w:r>
      <w:r w:rsidR="00C61B3E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 w:rsidR="001C0F2E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In cooperation with </w:t>
      </w:r>
      <w:proofErr w:type="spellStart"/>
      <w:r w:rsidR="001C0F2E" w:rsidRPr="001C0F2E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István</w:t>
      </w:r>
      <w:proofErr w:type="spellEnd"/>
      <w:r w:rsidR="001C0F2E" w:rsidRPr="001C0F2E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r w:rsidR="00C61B3E" w:rsidRPr="001C0F2E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Nagy</w:t>
      </w:r>
      <w:r w:rsidR="001C0F2E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he described and mapped up frontal polymerization and </w:t>
      </w:r>
      <w:r w:rsidR="00C61B3E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rea</w:t>
      </w:r>
      <w:r w:rsidR="001C0F2E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ction fronts</w:t>
      </w:r>
      <w:r w:rsidR="00C61B3E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.</w:t>
      </w:r>
      <w:r w:rsidR="00663C6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 </w:t>
      </w:r>
    </w:p>
    <w:p w14:paraId="64C04AD0" w14:textId="62F2FDFE" w:rsidR="00EF179A" w:rsidRPr="00A93258" w:rsidRDefault="00133BD4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Between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1978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and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1982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he was a deputy dean 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of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 w:rsidRPr="00133BD4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KLTE</w:t>
      </w:r>
      <w:proofErr w:type="gramEnd"/>
      <w:r w:rsidRPr="00133BD4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Pr="00133BD4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Természettudományi</w:t>
      </w:r>
      <w:proofErr w:type="spellEnd"/>
      <w:r w:rsidRPr="00133BD4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Pr="00133BD4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Kar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[Faculty of Sciences of </w:t>
      </w:r>
      <w:r w:rsidRPr="00133BD4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Lajos Kossuth</w:t>
      </w:r>
      <w:r w:rsidRPr="00133BD4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University of Arts and Sciences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] and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between </w:t>
      </w:r>
      <w:r w:rsidR="00A6446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1984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and</w:t>
      </w:r>
      <w:r w:rsidR="00A6446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1990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, he served as Dean of the same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Following this, he was a vice rector and, between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1995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and </w:t>
      </w:r>
      <w:r w:rsidR="00250D18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2000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,</w:t>
      </w:r>
      <w:r w:rsidR="00250D18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Rec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tor</w:t>
      </w:r>
      <w:r w:rsidR="00663C6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.</w:t>
      </w:r>
    </w:p>
    <w:p w14:paraId="4002EA06" w14:textId="4D6CCF5F" w:rsidR="00EF179A" w:rsidRPr="00A93258" w:rsidRDefault="007E1874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For two terms, he was a doctoral representative in the general assembly of the Academy and, for the second of these, he 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was also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an elected member of the Academy. Since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1990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he has been an advisory member of the Department of Chemical Sciences of HAS. </w:t>
      </w:r>
    </w:p>
    <w:p w14:paraId="5C582FB5" w14:textId="6F1FA7C1" w:rsidR="00EF179A" w:rsidRPr="00B45096" w:rsidRDefault="00DF3E1D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</w:pPr>
      <w:r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For the past three decades, he has been an active participant in Hungarian public life within higher education in Hungary and abroad, serving as </w:t>
      </w:r>
      <w:r w:rsidRPr="00B4509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President</w:t>
      </w:r>
      <w:r w:rsidRPr="00B4509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</w:t>
      </w:r>
      <w:r w:rsidRPr="00B4509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Dean's College of the Faculty of Science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(1989/90)</w:t>
      </w:r>
      <w:r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and 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a</w:t>
      </w:r>
      <w:r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s a founding member of the Advisory Board of 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TEMPUS. </w:t>
      </w:r>
      <w:r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In 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1993</w:t>
      </w:r>
      <w:r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, he was the founding </w:t>
      </w:r>
      <w:proofErr w:type="gramStart"/>
      <w:r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chair</w:t>
      </w:r>
      <w:r w:rsidR="00B45096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man</w:t>
      </w:r>
      <w:proofErr w:type="gramEnd"/>
      <w:r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of </w:t>
      </w:r>
      <w:r w:rsidRPr="00B4509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National Doctoral and Habilitation Committee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. </w:t>
      </w:r>
      <w:r w:rsidR="00B45096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In addition, he was also the president of </w:t>
      </w:r>
      <w:r w:rsidR="00B45096" w:rsidRPr="00B4509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Hungarian Rectors' Conference</w:t>
      </w:r>
      <w:r w:rsidR="00B45096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(1997–1998),</w:t>
      </w:r>
      <w:bookmarkStart w:id="0" w:name="_GoBack"/>
      <w:bookmarkEnd w:id="0"/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</w:t>
      </w:r>
      <w:r w:rsidR="00B45096" w:rsidRPr="00B4509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Chairman</w:t>
      </w:r>
      <w:r w:rsidR="00B45096" w:rsidRPr="00B4509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</w:t>
      </w:r>
      <w:r w:rsidR="00B45096" w:rsidRPr="00B4509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Higher Education and Science Council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(2004–2006)</w:t>
      </w:r>
      <w:r w:rsidR="00B45096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and for two terms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</w:t>
      </w:r>
      <w:r w:rsidR="00AC0750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(2007–2010, 2010–2012)</w:t>
      </w:r>
      <w:r w:rsidR="00B45096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, </w:t>
      </w:r>
      <w:r w:rsidR="00B45096" w:rsidRPr="00B4509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Chairman</w:t>
      </w:r>
      <w:r w:rsidR="00B45096" w:rsidRPr="00B4509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</w:t>
      </w:r>
      <w:r w:rsidR="00B45096" w:rsidRPr="00B4509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Hungarian Higher Education Accreditation Committee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.</w:t>
      </w:r>
      <w:r w:rsidR="00663C6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</w:t>
      </w:r>
      <w:r w:rsid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He has also participated in the work of 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Eur</w:t>
      </w:r>
      <w:r w:rsid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o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p</w:t>
      </w:r>
      <w:r w:rsid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e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a</w:t>
      </w:r>
      <w:r w:rsid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n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Re</w:t>
      </w:r>
      <w:r w:rsid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c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tor</w:t>
      </w:r>
      <w:r w:rsid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s’ C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onferenc</w:t>
      </w:r>
      <w:r w:rsid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e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(CRE</w:t>
      </w:r>
      <w:r w:rsidR="003216D3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/EUA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>), European Centre of Strategic Management of Universities (ESMU)</w:t>
      </w:r>
      <w:r w:rsid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and</w:t>
      </w:r>
      <w:r w:rsidR="00EF179A" w:rsidRPr="00B45096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European Association for Quality Assurance (ENQA).</w:t>
      </w:r>
    </w:p>
    <w:p w14:paraId="3E2B1CC7" w14:textId="78049110" w:rsidR="00EF179A" w:rsidRPr="00AB694B" w:rsidRDefault="00EF179A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</w:pPr>
      <w:r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A</w:t>
      </w:r>
      <w:r w:rsidR="00B45096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t the regional and national levels of public life, he represented the Hungarian Socialist</w:t>
      </w:r>
      <w:r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 w:rsidR="00B45096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Party as a </w:t>
      </w:r>
      <w:proofErr w:type="gramStart"/>
      <w:r w:rsidR="00B45096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member</w:t>
      </w:r>
      <w:proofErr w:type="gramEnd"/>
      <w:r w:rsidR="00B45096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of </w:t>
      </w:r>
      <w:r w:rsidR="00B45096" w:rsidRPr="00AB694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Parliament of the Republic of Hungary</w:t>
      </w:r>
      <w:r w:rsidRPr="00AB694B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(1998–2002), </w:t>
      </w:r>
      <w:r w:rsidR="00AB694B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as a </w:t>
      </w:r>
      <w:r w:rsidR="00AB694B" w:rsidRPr="00AB694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member</w:t>
      </w:r>
      <w:r w:rsidR="00AB694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</w:t>
      </w:r>
      <w:r w:rsidR="00AB694B" w:rsidRPr="00AB694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B694B" w:rsidRPr="00AB694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Hajdú</w:t>
      </w:r>
      <w:proofErr w:type="spellEnd"/>
      <w:r w:rsidR="00AB694B" w:rsidRPr="00AB694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-Bihar</w:t>
      </w:r>
      <w:r w:rsidR="00AB694B" w:rsidRPr="00AB694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County General Assembly </w:t>
      </w:r>
      <w:r w:rsidRPr="00AB694B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(2002–2006) </w:t>
      </w:r>
      <w:r w:rsidR="00AB694B" w:rsidRPr="00AB694B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and as member of </w:t>
      </w:r>
      <w:r w:rsidR="00AB694B" w:rsidRPr="00AB694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Debrecen city assembly</w:t>
      </w:r>
      <w:r w:rsidRPr="00AB694B">
        <w:rPr>
          <w:rFonts w:ascii="Arial" w:eastAsia="Times New Roman" w:hAnsi="Arial" w:cs="Arial"/>
          <w:color w:val="000000" w:themeColor="text1"/>
          <w:sz w:val="20"/>
          <w:szCs w:val="20"/>
          <w:lang w:val="en-US" w:eastAsia="hu-HU"/>
        </w:rPr>
        <w:t xml:space="preserve"> (2006–2010).</w:t>
      </w:r>
    </w:p>
    <w:p w14:paraId="61A261AD" w14:textId="26C2B0E2" w:rsidR="00EF179A" w:rsidRPr="00A93258" w:rsidRDefault="00DF3E1D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Awards and decorations</w:t>
      </w:r>
      <w:r w:rsidR="003760BD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: </w:t>
      </w:r>
      <w:proofErr w:type="spellStart"/>
      <w:r w:rsidR="00EF179A" w:rsidRPr="00AB694B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Az</w:t>
      </w:r>
      <w:proofErr w:type="spellEnd"/>
      <w:r w:rsidR="00EF179A" w:rsidRPr="00AB694B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="00EF179A" w:rsidRPr="00AB694B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Oktatásügy</w:t>
      </w:r>
      <w:proofErr w:type="spellEnd"/>
      <w:r w:rsidR="00EF179A" w:rsidRPr="00AB694B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="00EF179A" w:rsidRPr="00AB694B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Kiváló</w:t>
      </w:r>
      <w:proofErr w:type="spellEnd"/>
      <w:r w:rsidR="00EF179A" w:rsidRPr="00AB694B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="00EF179A" w:rsidRPr="00AB694B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Dolgozója</w:t>
      </w:r>
      <w:proofErr w:type="spellEnd"/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 w:rsidR="00AB694B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[Excellent Worker in Education]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(1975)</w:t>
      </w:r>
      <w:r w:rsidR="003760BD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</w:t>
      </w:r>
      <w:proofErr w:type="spellStart"/>
      <w:r w:rsidR="00EF179A" w:rsidRPr="00AB694B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Ifjúságért</w:t>
      </w:r>
      <w:proofErr w:type="spellEnd"/>
      <w:r w:rsidR="00EF179A" w:rsidRPr="00AB694B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="00EF179A" w:rsidRPr="00AB694B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Érdemérem</w:t>
      </w:r>
      <w:proofErr w:type="spellEnd"/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 w:rsidR="00AB694B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[Medal of Merit for Youth]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(1983)</w:t>
      </w:r>
      <w:r w:rsidR="003760BD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Pro </w:t>
      </w:r>
      <w:proofErr w:type="spellStart"/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Universitate</w:t>
      </w:r>
      <w:proofErr w:type="spellEnd"/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(</w:t>
      </w:r>
      <w:r w:rsidR="00EF179A" w:rsidRPr="00AB694B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Lajos </w:t>
      </w:r>
      <w:r w:rsidR="00AB694B" w:rsidRPr="00AB694B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Kossuth</w:t>
      </w:r>
      <w:r w:rsidR="00AB694B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 w:rsidR="00AB694B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University of Arts and Sciences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, 1999)</w:t>
      </w:r>
      <w:r w:rsidR="003760BD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Doctor Honoris Causa (N</w:t>
      </w:r>
      <w:r w:rsidR="00AB694B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ational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S</w:t>
      </w:r>
      <w:r w:rsidR="00AB694B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h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evc</w:t>
      </w:r>
      <w:r w:rsidR="00AB694B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h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enko </w:t>
      </w:r>
      <w:r w:rsidR="00AB694B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University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, Kiev, 1999)</w:t>
      </w:r>
      <w:r w:rsidR="003760BD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Pro </w:t>
      </w:r>
      <w:proofErr w:type="spellStart"/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Universitate</w:t>
      </w:r>
      <w:proofErr w:type="spellEnd"/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(</w:t>
      </w:r>
      <w:r w:rsidR="00AB694B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University of Debrecen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, 2001)</w:t>
      </w:r>
      <w:r w:rsidR="003760BD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</w:t>
      </w:r>
      <w:r w:rsidR="00AB694B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Order of Merit of the Republic of Hungary, Middle Cross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(2003)</w:t>
      </w:r>
      <w:r w:rsidR="003760BD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, </w:t>
      </w:r>
      <w:r w:rsidR="00AB694B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Letter of Commendation from </w:t>
      </w:r>
      <w:r w:rsidR="00AB694B" w:rsidRPr="00AB694B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ODT</w:t>
      </w:r>
      <w:r w:rsidR="00AB694B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[National Doctoral Council] </w:t>
      </w:r>
      <w:r w:rsidR="00EF179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(2014)</w:t>
      </w:r>
      <w:proofErr w:type="gramEnd"/>
    </w:p>
    <w:p w14:paraId="1F8AA470" w14:textId="2077B3BD" w:rsidR="00A6446A" w:rsidRPr="00A93258" w:rsidRDefault="007E1874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</w:pPr>
      <w:r w:rsidRPr="007E1874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Dr. </w:t>
      </w:r>
      <w:proofErr w:type="spellStart"/>
      <w:r w:rsidRPr="007E1874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György</w:t>
      </w:r>
      <w:proofErr w:type="spellEnd"/>
      <w:r w:rsidRPr="007E1874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Pr="007E1874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Bazsa</w:t>
      </w:r>
      <w:proofErr w:type="spellEnd"/>
      <w:r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married </w:t>
      </w:r>
      <w:r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(dr.) </w:t>
      </w:r>
      <w:proofErr w:type="spellStart"/>
      <w:r w:rsidRPr="007E1874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Zsuzsanna</w:t>
      </w:r>
      <w:proofErr w:type="spellEnd"/>
      <w:r w:rsidRPr="007E1874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 xml:space="preserve"> </w:t>
      </w:r>
      <w:proofErr w:type="spellStart"/>
      <w:r w:rsidRPr="007E1874">
        <w:rPr>
          <w:rFonts w:ascii="Arial" w:eastAsia="Times New Roman" w:hAnsi="Arial" w:cs="Arial"/>
          <w:i/>
          <w:color w:val="000000" w:themeColor="text1"/>
          <w:sz w:val="21"/>
          <w:szCs w:val="21"/>
          <w:lang w:val="en-US" w:eastAsia="hu-HU"/>
        </w:rPr>
        <w:t>Kassai</w:t>
      </w:r>
      <w:proofErr w:type="spellEnd"/>
      <w:r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in</w:t>
      </w:r>
      <w:r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 xml:space="preserve"> </w:t>
      </w:r>
      <w:r w:rsidR="00A6446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1968</w:t>
      </w:r>
      <w:r w:rsidR="00DF3E1D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. They have two sons and two granddaughters</w:t>
      </w:r>
      <w:r w:rsidR="00A6446A" w:rsidRPr="00A93258">
        <w:rPr>
          <w:rFonts w:ascii="Arial" w:eastAsia="Times New Roman" w:hAnsi="Arial" w:cs="Arial"/>
          <w:color w:val="000000" w:themeColor="text1"/>
          <w:sz w:val="21"/>
          <w:szCs w:val="21"/>
          <w:lang w:val="en-US" w:eastAsia="hu-HU"/>
        </w:rPr>
        <w:t>.</w:t>
      </w:r>
    </w:p>
    <w:p w14:paraId="565D1226" w14:textId="77777777" w:rsidR="00424C16" w:rsidRPr="00A93258" w:rsidRDefault="001B254E" w:rsidP="00A5796D">
      <w:pPr>
        <w:jc w:val="both"/>
        <w:rPr>
          <w:color w:val="000000" w:themeColor="text1"/>
          <w:lang w:val="en-US"/>
        </w:rPr>
      </w:pPr>
    </w:p>
    <w:sectPr w:rsidR="00424C16" w:rsidRPr="00A9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4FFF"/>
    <w:multiLevelType w:val="multilevel"/>
    <w:tmpl w:val="46A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77280"/>
    <w:multiLevelType w:val="multilevel"/>
    <w:tmpl w:val="F326C344"/>
    <w:lvl w:ilvl="0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9A"/>
    <w:rsid w:val="00133BD4"/>
    <w:rsid w:val="00164F3D"/>
    <w:rsid w:val="001B254E"/>
    <w:rsid w:val="001C0F2E"/>
    <w:rsid w:val="00250D18"/>
    <w:rsid w:val="003216D3"/>
    <w:rsid w:val="003760BD"/>
    <w:rsid w:val="00492AC9"/>
    <w:rsid w:val="0049482B"/>
    <w:rsid w:val="004E7B0D"/>
    <w:rsid w:val="00517483"/>
    <w:rsid w:val="00663C6A"/>
    <w:rsid w:val="006D3513"/>
    <w:rsid w:val="00752772"/>
    <w:rsid w:val="00775042"/>
    <w:rsid w:val="007E1874"/>
    <w:rsid w:val="008F0604"/>
    <w:rsid w:val="00A5796D"/>
    <w:rsid w:val="00A6446A"/>
    <w:rsid w:val="00A93258"/>
    <w:rsid w:val="00AB694B"/>
    <w:rsid w:val="00AC0750"/>
    <w:rsid w:val="00AF44BA"/>
    <w:rsid w:val="00B45096"/>
    <w:rsid w:val="00B46716"/>
    <w:rsid w:val="00BA2824"/>
    <w:rsid w:val="00C42B65"/>
    <w:rsid w:val="00C61B3E"/>
    <w:rsid w:val="00C660CF"/>
    <w:rsid w:val="00D608DA"/>
    <w:rsid w:val="00DF3E1D"/>
    <w:rsid w:val="00E50345"/>
    <w:rsid w:val="00E91BF0"/>
    <w:rsid w:val="00E94018"/>
    <w:rsid w:val="00E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C817"/>
  <w15:chartTrackingRefBased/>
  <w15:docId w15:val="{ABCBE057-1A77-4C18-B7EE-27011BE8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F1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179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F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F179A"/>
    <w:rPr>
      <w:color w:val="0000FF"/>
      <w:u w:val="single"/>
    </w:rPr>
  </w:style>
  <w:style w:type="paragraph" w:customStyle="1" w:styleId="toclevel-1">
    <w:name w:val="toclevel-1"/>
    <w:basedOn w:val="Norml"/>
    <w:rsid w:val="00EF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cnumber">
    <w:name w:val="tocnumber"/>
    <w:basedOn w:val="Bekezdsalapbettpusa"/>
    <w:rsid w:val="00EF179A"/>
  </w:style>
  <w:style w:type="character" w:customStyle="1" w:styleId="toctext">
    <w:name w:val="toctext"/>
    <w:basedOn w:val="Bekezdsalapbettpusa"/>
    <w:rsid w:val="00EF179A"/>
  </w:style>
  <w:style w:type="character" w:customStyle="1" w:styleId="mw-headline">
    <w:name w:val="mw-headline"/>
    <w:basedOn w:val="Bekezdsalapbettpusa"/>
    <w:rsid w:val="00EF179A"/>
  </w:style>
  <w:style w:type="character" w:customStyle="1" w:styleId="mw-editsection">
    <w:name w:val="mw-editsection"/>
    <w:basedOn w:val="Bekezdsalapbettpusa"/>
    <w:rsid w:val="00EF179A"/>
  </w:style>
  <w:style w:type="character" w:customStyle="1" w:styleId="mw-editsection-bracket">
    <w:name w:val="mw-editsection-bracket"/>
    <w:basedOn w:val="Bekezdsalapbettpusa"/>
    <w:rsid w:val="00EF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01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/index.php?title=P%C3%B3ta_Gy%C3%B6rgy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/index.php?title=Irving_Epstein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Professor_emerit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u.wikipedia.org/wiki/Debreceni_Egyet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/index.php?title=Lengyel_Istv%C3%A1n_(k%C3%A9mikus)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664</Words>
  <Characters>3722</Characters>
  <Application>Microsoft Office Word</Application>
  <DocSecurity>0</DocSecurity>
  <Lines>53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cp:lastPrinted>2021-12-14T12:23:00Z</cp:lastPrinted>
  <dcterms:created xsi:type="dcterms:W3CDTF">2022-03-17T23:08:00Z</dcterms:created>
  <dcterms:modified xsi:type="dcterms:W3CDTF">2022-03-18T12:36:00Z</dcterms:modified>
</cp:coreProperties>
</file>